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5EB8FB36" w:rsidR="001774A8" w:rsidRDefault="001118F1" w:rsidP="008E3A81">
      <w:pPr>
        <w:pStyle w:val="SAGEEPtitle"/>
      </w:pPr>
      <w:r>
        <w:t>A towed marine TIme-domain electromagnetic method for evaluating the continuity of an aquitard</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726A368C" w:rsidR="00D5590A" w:rsidRDefault="001118F1" w:rsidP="00D5590A">
      <w:pPr>
        <w:pStyle w:val="SAGEEPheading"/>
        <w:spacing w:after="0"/>
        <w:rPr>
          <w:b w:val="0"/>
          <w:bCs w:val="0"/>
          <w:i/>
          <w:iCs w:val="0"/>
          <w:color w:val="000000"/>
          <w:sz w:val="24"/>
          <w:szCs w:val="24"/>
        </w:rPr>
      </w:pPr>
      <w:r>
        <w:rPr>
          <w:b w:val="0"/>
          <w:bCs w:val="0"/>
          <w:i/>
          <w:iCs w:val="0"/>
          <w:color w:val="000000"/>
          <w:sz w:val="24"/>
          <w:szCs w:val="24"/>
        </w:rPr>
        <w:t>Mike Law</w:t>
      </w:r>
      <w:r w:rsidR="00D5590A" w:rsidRPr="00D5590A">
        <w:rPr>
          <w:b w:val="0"/>
          <w:bCs w:val="0"/>
          <w:i/>
          <w:iCs w:val="0"/>
          <w:color w:val="000000"/>
          <w:sz w:val="24"/>
          <w:szCs w:val="24"/>
        </w:rPr>
        <w:t xml:space="preserve">, </w:t>
      </w:r>
      <w:r>
        <w:rPr>
          <w:b w:val="0"/>
          <w:bCs w:val="0"/>
          <w:i/>
          <w:iCs w:val="0"/>
          <w:color w:val="000000"/>
          <w:sz w:val="24"/>
          <w:szCs w:val="24"/>
        </w:rPr>
        <w:t>DMT Geosciences Ltd</w:t>
      </w:r>
      <w:r w:rsidR="00D5590A">
        <w:rPr>
          <w:b w:val="0"/>
          <w:bCs w:val="0"/>
          <w:i/>
          <w:iCs w:val="0"/>
          <w:color w:val="000000"/>
          <w:sz w:val="24"/>
          <w:szCs w:val="24"/>
        </w:rPr>
        <w:t xml:space="preserve">, </w:t>
      </w:r>
      <w:r>
        <w:rPr>
          <w:b w:val="0"/>
          <w:bCs w:val="0"/>
          <w:i/>
          <w:iCs w:val="0"/>
          <w:color w:val="000000"/>
          <w:sz w:val="24"/>
          <w:szCs w:val="24"/>
        </w:rPr>
        <w:t>Calgary</w:t>
      </w:r>
      <w:r w:rsidR="00520802">
        <w:rPr>
          <w:b w:val="0"/>
          <w:bCs w:val="0"/>
          <w:i/>
          <w:iCs w:val="0"/>
          <w:color w:val="000000"/>
          <w:sz w:val="24"/>
          <w:szCs w:val="24"/>
        </w:rPr>
        <w:t xml:space="preserve">, </w:t>
      </w:r>
      <w:r>
        <w:rPr>
          <w:b w:val="0"/>
          <w:bCs w:val="0"/>
          <w:i/>
          <w:iCs w:val="0"/>
          <w:color w:val="000000"/>
          <w:sz w:val="24"/>
          <w:szCs w:val="24"/>
        </w:rPr>
        <w:t>AB</w:t>
      </w:r>
      <w:r w:rsidR="00D5590A">
        <w:rPr>
          <w:b w:val="0"/>
          <w:bCs w:val="0"/>
          <w:i/>
          <w:iCs w:val="0"/>
          <w:color w:val="000000"/>
          <w:sz w:val="24"/>
          <w:szCs w:val="24"/>
        </w:rPr>
        <w:t xml:space="preserve">, </w:t>
      </w:r>
      <w:r>
        <w:rPr>
          <w:b w:val="0"/>
          <w:bCs w:val="0"/>
          <w:i/>
          <w:iCs w:val="0"/>
          <w:color w:val="000000"/>
          <w:sz w:val="24"/>
          <w:szCs w:val="24"/>
        </w:rPr>
        <w:t>Canada</w:t>
      </w:r>
    </w:p>
    <w:p w14:paraId="4DC4590C" w14:textId="39C51AB3" w:rsidR="00D5590A" w:rsidRPr="007A2AB6" w:rsidRDefault="00CA62E6" w:rsidP="00D5590A">
      <w:pPr>
        <w:pStyle w:val="SAGEEPheading"/>
        <w:spacing w:after="0"/>
        <w:rPr>
          <w:b w:val="0"/>
          <w:bCs w:val="0"/>
          <w:i/>
          <w:iCs w:val="0"/>
          <w:sz w:val="24"/>
          <w:szCs w:val="24"/>
        </w:rPr>
      </w:pPr>
      <w:r>
        <w:rPr>
          <w:b w:val="0"/>
          <w:bCs w:val="0"/>
          <w:i/>
          <w:iCs w:val="0"/>
          <w:color w:val="000000"/>
          <w:sz w:val="24"/>
          <w:szCs w:val="24"/>
        </w:rPr>
        <w:t>Dr</w:t>
      </w:r>
      <w:r w:rsidRPr="007A2AB6">
        <w:rPr>
          <w:b w:val="0"/>
          <w:bCs w:val="0"/>
          <w:i/>
          <w:iCs w:val="0"/>
          <w:sz w:val="24"/>
          <w:szCs w:val="24"/>
        </w:rPr>
        <w:t>ew</w:t>
      </w:r>
      <w:r w:rsidR="001118F1" w:rsidRPr="007A2AB6">
        <w:rPr>
          <w:b w:val="0"/>
          <w:bCs w:val="0"/>
          <w:i/>
          <w:iCs w:val="0"/>
          <w:sz w:val="24"/>
          <w:szCs w:val="24"/>
        </w:rPr>
        <w:t xml:space="preserve"> </w:t>
      </w:r>
      <w:r w:rsidRPr="007A2AB6">
        <w:rPr>
          <w:b w:val="0"/>
          <w:bCs w:val="0"/>
          <w:i/>
          <w:iCs w:val="0"/>
          <w:sz w:val="24"/>
          <w:szCs w:val="24"/>
        </w:rPr>
        <w:t>Fossen</w:t>
      </w:r>
      <w:r w:rsidR="00D5590A" w:rsidRPr="007A2AB6">
        <w:rPr>
          <w:b w:val="0"/>
          <w:bCs w:val="0"/>
          <w:i/>
          <w:iCs w:val="0"/>
          <w:sz w:val="24"/>
          <w:szCs w:val="24"/>
        </w:rPr>
        <w:t xml:space="preserve">, </w:t>
      </w:r>
      <w:r w:rsidR="001118F1" w:rsidRPr="007A2AB6">
        <w:rPr>
          <w:b w:val="0"/>
          <w:bCs w:val="0"/>
          <w:i/>
          <w:iCs w:val="0"/>
          <w:sz w:val="24"/>
          <w:szCs w:val="24"/>
        </w:rPr>
        <w:t>DMT Geosciences Ltd, Calgary, AB, Canada</w:t>
      </w:r>
    </w:p>
    <w:p w14:paraId="77A34214" w14:textId="11E1DD69" w:rsidR="00D5590A" w:rsidRPr="007A2AB6" w:rsidRDefault="00CA62E6" w:rsidP="00D5590A">
      <w:pPr>
        <w:pStyle w:val="SAGEEPheading"/>
        <w:spacing w:after="0"/>
        <w:rPr>
          <w:b w:val="0"/>
          <w:bCs w:val="0"/>
          <w:i/>
          <w:iCs w:val="0"/>
          <w:sz w:val="24"/>
          <w:szCs w:val="24"/>
        </w:rPr>
      </w:pPr>
      <w:r w:rsidRPr="007A2AB6">
        <w:rPr>
          <w:b w:val="0"/>
          <w:bCs w:val="0"/>
          <w:i/>
          <w:iCs w:val="0"/>
          <w:sz w:val="24"/>
          <w:szCs w:val="24"/>
        </w:rPr>
        <w:t>Rob Harris</w:t>
      </w:r>
      <w:r w:rsidR="00520802" w:rsidRPr="007A2AB6">
        <w:rPr>
          <w:b w:val="0"/>
          <w:bCs w:val="0"/>
          <w:i/>
          <w:iCs w:val="0"/>
          <w:sz w:val="24"/>
          <w:szCs w:val="24"/>
        </w:rPr>
        <w:t xml:space="preserve">, </w:t>
      </w:r>
      <w:r w:rsidRPr="007A2AB6">
        <w:rPr>
          <w:b w:val="0"/>
          <w:bCs w:val="0"/>
          <w:i/>
          <w:iCs w:val="0"/>
          <w:sz w:val="24"/>
          <w:szCs w:val="24"/>
        </w:rPr>
        <w:t xml:space="preserve">Geonics </w:t>
      </w:r>
      <w:r w:rsidR="001118F1" w:rsidRPr="007A2AB6">
        <w:rPr>
          <w:b w:val="0"/>
          <w:bCs w:val="0"/>
          <w:i/>
          <w:iCs w:val="0"/>
          <w:sz w:val="24"/>
          <w:szCs w:val="24"/>
        </w:rPr>
        <w:t xml:space="preserve">Ltd, </w:t>
      </w:r>
      <w:r w:rsidR="00447D6C" w:rsidRPr="007A2AB6">
        <w:rPr>
          <w:b w:val="0"/>
          <w:bCs w:val="0"/>
          <w:i/>
          <w:iCs w:val="0"/>
          <w:sz w:val="24"/>
          <w:szCs w:val="24"/>
        </w:rPr>
        <w:t>Mississauga</w:t>
      </w:r>
      <w:r w:rsidR="001118F1" w:rsidRPr="007A2AB6">
        <w:rPr>
          <w:b w:val="0"/>
          <w:bCs w:val="0"/>
          <w:i/>
          <w:iCs w:val="0"/>
          <w:sz w:val="24"/>
          <w:szCs w:val="24"/>
        </w:rPr>
        <w:t xml:space="preserve">, </w:t>
      </w:r>
      <w:r w:rsidR="00447D6C" w:rsidRPr="007A2AB6">
        <w:rPr>
          <w:b w:val="0"/>
          <w:bCs w:val="0"/>
          <w:i/>
          <w:iCs w:val="0"/>
          <w:sz w:val="24"/>
          <w:szCs w:val="24"/>
        </w:rPr>
        <w:t>ON</w:t>
      </w:r>
      <w:r w:rsidR="001118F1" w:rsidRPr="007A2AB6">
        <w:rPr>
          <w:b w:val="0"/>
          <w:bCs w:val="0"/>
          <w:i/>
          <w:iCs w:val="0"/>
          <w:sz w:val="24"/>
          <w:szCs w:val="24"/>
        </w:rPr>
        <w:t>, Canada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2DA0F346" w14:textId="67ED8178" w:rsidR="000D0D9E" w:rsidRDefault="00CF5BED" w:rsidP="000D0D9E">
      <w:pPr>
        <w:pStyle w:val="SAGEEPtext"/>
      </w:pPr>
      <w:r>
        <w:t xml:space="preserve">Time Domain Electromagnetic </w:t>
      </w:r>
      <w:r w:rsidR="000D0D9E">
        <w:t>(TEM) methods have long been used for hydrogeological</w:t>
      </w:r>
      <w:r w:rsidR="00876243">
        <w:t xml:space="preserve"> </w:t>
      </w:r>
      <w:r w:rsidR="000D0D9E">
        <w:t>/</w:t>
      </w:r>
      <w:r w:rsidR="00876243">
        <w:t xml:space="preserve"> </w:t>
      </w:r>
      <w:r w:rsidR="000D0D9E">
        <w:t xml:space="preserve">groundwater studies. Investigations into hydrostratigraphic units are common because of the ability to map aquifer properties based on grain-size, which is </w:t>
      </w:r>
      <w:r w:rsidR="00CE2FEF">
        <w:t>commonly</w:t>
      </w:r>
      <w:r w:rsidR="000D0D9E">
        <w:t xml:space="preserve"> related to electrical conductivity contrasts in the subsurface. However, surface conditions often limit access to some areas, such as densely forested regions, abundant infrastructure, or surface water bodies. </w:t>
      </w:r>
    </w:p>
    <w:p w14:paraId="0D181202" w14:textId="77777777" w:rsidR="0099427D" w:rsidRDefault="0099427D" w:rsidP="000D0D9E">
      <w:pPr>
        <w:pStyle w:val="SAGEEPtext"/>
      </w:pPr>
    </w:p>
    <w:p w14:paraId="154A5654" w14:textId="0BAD9C60" w:rsidR="00F96733" w:rsidRDefault="000D0D9E" w:rsidP="000D0D9E">
      <w:pPr>
        <w:pStyle w:val="SAGEEPtext"/>
      </w:pPr>
      <w:r>
        <w:t xml:space="preserve">This investigation showcases the use of Geonics </w:t>
      </w:r>
      <w:r w:rsidR="00877A97">
        <w:t>Ltd.’s</w:t>
      </w:r>
      <w:r>
        <w:t xml:space="preserve"> G-TEM system applied in a mobile acquisition setup for waterborne TEM. The goals of the survey were to map the continuity </w:t>
      </w:r>
      <w:r w:rsidR="00876243">
        <w:t xml:space="preserve">/ composition </w:t>
      </w:r>
      <w:r>
        <w:t>of a conductive glacial</w:t>
      </w:r>
      <w:r w:rsidR="00900796">
        <w:t xml:space="preserve"> clay</w:t>
      </w:r>
      <w:r>
        <w:t xml:space="preserve"> till unit</w:t>
      </w:r>
      <w:r w:rsidR="00876243">
        <w:t>,</w:t>
      </w:r>
      <w:r>
        <w:t xml:space="preserve"> </w:t>
      </w:r>
      <w:r w:rsidR="00900796">
        <w:t>underlying</w:t>
      </w:r>
      <w:r>
        <w:t xml:space="preserve"> a surficial water body. The G-TEM system allowed rapid, high-resolution acquisition across the lake for hydrostratigraphic mapping and evaluation of </w:t>
      </w:r>
      <w:r w:rsidR="00900796">
        <w:t>the</w:t>
      </w:r>
      <w:r>
        <w:t xml:space="preserve"> </w:t>
      </w:r>
      <w:r w:rsidR="00347648">
        <w:t>clay</w:t>
      </w:r>
      <w:r>
        <w:t xml:space="preserve"> till aquitard.</w:t>
      </w:r>
      <w:r w:rsidR="00900796">
        <w:t xml:space="preserve"> The lake itself is fed by surface run-off and shallow groundwater, with an inconclusive level of influence from deeper groundwater that may feed into the lake from below the clay till. </w:t>
      </w:r>
    </w:p>
    <w:p w14:paraId="589337D6" w14:textId="77777777" w:rsidR="0099427D" w:rsidRDefault="0099427D" w:rsidP="000D0D9E">
      <w:pPr>
        <w:pStyle w:val="SAGEEPtext"/>
      </w:pPr>
    </w:p>
    <w:p w14:paraId="152EC6E2" w14:textId="056F3BE2" w:rsidR="000D0D9E" w:rsidRDefault="00876243" w:rsidP="000D0D9E">
      <w:pPr>
        <w:pStyle w:val="SAGEEPtext"/>
        <w:rPr>
          <w:color w:val="FF0000"/>
        </w:rPr>
      </w:pPr>
      <w:r>
        <w:t>Variations</w:t>
      </w:r>
      <w:r w:rsidR="00900796">
        <w:t xml:space="preserve"> in the clay till may indicate </w:t>
      </w:r>
      <w:r>
        <w:t>zones of interests</w:t>
      </w:r>
      <w:r w:rsidR="00900796">
        <w:t xml:space="preserve"> </w:t>
      </w:r>
      <w:r>
        <w:t xml:space="preserve">for </w:t>
      </w:r>
      <w:r w:rsidR="00900796">
        <w:t xml:space="preserve">possible hydrogeological pathways. </w:t>
      </w:r>
      <w:r>
        <w:t>Preliminary r</w:t>
      </w:r>
      <w:r w:rsidR="00900796">
        <w:t xml:space="preserve">esults showed variability in depth to </w:t>
      </w:r>
      <w:r>
        <w:t xml:space="preserve">both </w:t>
      </w:r>
      <w:r w:rsidR="00900796">
        <w:t xml:space="preserve">the top and base of the clay till, which in some cases corresponded to lineaments identified in </w:t>
      </w:r>
      <w:r>
        <w:t xml:space="preserve">a previously acquired </w:t>
      </w:r>
      <w:r w:rsidR="00900796">
        <w:t xml:space="preserve">airborne magnetic survey. </w:t>
      </w:r>
      <w:r>
        <w:t xml:space="preserve">These variations may </w:t>
      </w:r>
      <w:r w:rsidR="00900796">
        <w:t>suggest a connection between structures in the deep underlying units and the glacially deposited till unit. Ground results from the GTEM compared favorably to</w:t>
      </w:r>
      <w:r w:rsidR="00A95CD3">
        <w:t xml:space="preserve"> </w:t>
      </w:r>
      <w:r w:rsidR="000D0D9E" w:rsidRPr="00900796">
        <w:t xml:space="preserve">previously acquired ground TEM surveys when </w:t>
      </w:r>
      <w:r w:rsidR="00263F5A" w:rsidRPr="00900796">
        <w:t>the lake</w:t>
      </w:r>
      <w:r w:rsidR="000D0D9E" w:rsidRPr="00900796">
        <w:t xml:space="preserve"> was frozen</w:t>
      </w:r>
      <w:r w:rsidR="00900796" w:rsidRPr="00900796">
        <w:t xml:space="preserve">, </w:t>
      </w:r>
      <w:r w:rsidR="00900796">
        <w:t>as well as</w:t>
      </w:r>
      <w:r w:rsidR="00900796" w:rsidRPr="00900796">
        <w:t xml:space="preserve"> </w:t>
      </w:r>
      <w:r w:rsidR="00A95CD3" w:rsidRPr="00900796">
        <w:t xml:space="preserve">two boreholes </w:t>
      </w:r>
      <w:r w:rsidR="00A57568" w:rsidRPr="00900796">
        <w:t xml:space="preserve">used for </w:t>
      </w:r>
      <w:r w:rsidR="00A95CD3" w:rsidRPr="00900796">
        <w:t>ground-truthing.</w:t>
      </w:r>
      <w:r w:rsidR="00900796" w:rsidRPr="00900796">
        <w:t xml:space="preserve"> </w:t>
      </w:r>
      <w:r>
        <w:t xml:space="preserve">The results of this survey will be used to identify zones of interest based on variations in the clay till, which will help guide strategic drilling locations to verify the models and further evaluate hydrogeological processes into/out of the lake.   </w:t>
      </w:r>
    </w:p>
    <w:p w14:paraId="46D04365" w14:textId="3EB65148" w:rsidR="006E6DAF" w:rsidRDefault="006E6DAF" w:rsidP="006E6DAF">
      <w:pPr>
        <w:pStyle w:val="SAGEEPtext"/>
        <w:ind w:firstLine="0"/>
      </w:pPr>
    </w:p>
    <w:p w14:paraId="448C8301" w14:textId="5D25A3DD" w:rsidR="00AD6206" w:rsidRDefault="00AD6206" w:rsidP="00490380"/>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2D9D" w14:textId="77777777" w:rsidR="00FA41B3" w:rsidRDefault="00FA41B3">
      <w:r>
        <w:separator/>
      </w:r>
    </w:p>
  </w:endnote>
  <w:endnote w:type="continuationSeparator" w:id="0">
    <w:p w14:paraId="34989703" w14:textId="77777777" w:rsidR="00FA41B3" w:rsidRDefault="00FA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7194" w14:textId="77777777" w:rsidR="00FA41B3" w:rsidRDefault="00FA41B3">
      <w:r>
        <w:separator/>
      </w:r>
    </w:p>
  </w:footnote>
  <w:footnote w:type="continuationSeparator" w:id="0">
    <w:p w14:paraId="561B2CB1" w14:textId="77777777" w:rsidR="00FA41B3" w:rsidRDefault="00FA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347648" w:rsidRPr="000C6977" w:rsidRDefault="0034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35028645">
    <w:abstractNumId w:val="0"/>
  </w:num>
  <w:num w:numId="2" w16cid:durableId="1440834107">
    <w:abstractNumId w:val="4"/>
  </w:num>
  <w:num w:numId="3" w16cid:durableId="1098402149">
    <w:abstractNumId w:val="2"/>
  </w:num>
  <w:num w:numId="4" w16cid:durableId="1749497586">
    <w:abstractNumId w:val="1"/>
  </w:num>
  <w:num w:numId="5" w16cid:durableId="450132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NzIxN7YwNTU0sDBT0lEKTi0uzszPAykwrQUApSB0tCwAAAA="/>
  </w:docVars>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0D9E"/>
    <w:rsid w:val="000D220C"/>
    <w:rsid w:val="000E54A1"/>
    <w:rsid w:val="00101785"/>
    <w:rsid w:val="001118F1"/>
    <w:rsid w:val="0014236C"/>
    <w:rsid w:val="0014606F"/>
    <w:rsid w:val="00162FB9"/>
    <w:rsid w:val="00165E0F"/>
    <w:rsid w:val="00176BDB"/>
    <w:rsid w:val="001774A8"/>
    <w:rsid w:val="001828F1"/>
    <w:rsid w:val="00183D13"/>
    <w:rsid w:val="00185CCE"/>
    <w:rsid w:val="00194062"/>
    <w:rsid w:val="001961F2"/>
    <w:rsid w:val="001A22A9"/>
    <w:rsid w:val="001C20C6"/>
    <w:rsid w:val="001E087C"/>
    <w:rsid w:val="00210465"/>
    <w:rsid w:val="00213A19"/>
    <w:rsid w:val="00216467"/>
    <w:rsid w:val="00223DD7"/>
    <w:rsid w:val="00250EBA"/>
    <w:rsid w:val="002613F2"/>
    <w:rsid w:val="0026175B"/>
    <w:rsid w:val="00263F5A"/>
    <w:rsid w:val="002656C6"/>
    <w:rsid w:val="00272F31"/>
    <w:rsid w:val="0027514E"/>
    <w:rsid w:val="00277BAA"/>
    <w:rsid w:val="00292A6E"/>
    <w:rsid w:val="002A266D"/>
    <w:rsid w:val="002C2221"/>
    <w:rsid w:val="002C2496"/>
    <w:rsid w:val="002C6B13"/>
    <w:rsid w:val="002D0C14"/>
    <w:rsid w:val="002D5F2D"/>
    <w:rsid w:val="002E6D62"/>
    <w:rsid w:val="00313033"/>
    <w:rsid w:val="00322ADF"/>
    <w:rsid w:val="003257AC"/>
    <w:rsid w:val="003262E2"/>
    <w:rsid w:val="00326CB5"/>
    <w:rsid w:val="00347648"/>
    <w:rsid w:val="00351941"/>
    <w:rsid w:val="0036376A"/>
    <w:rsid w:val="00363FA4"/>
    <w:rsid w:val="00386CA0"/>
    <w:rsid w:val="003A6048"/>
    <w:rsid w:val="003B255F"/>
    <w:rsid w:val="003B2B53"/>
    <w:rsid w:val="003C67F8"/>
    <w:rsid w:val="003D570C"/>
    <w:rsid w:val="003F0C8B"/>
    <w:rsid w:val="003F15F3"/>
    <w:rsid w:val="003F3BC8"/>
    <w:rsid w:val="003F3EA3"/>
    <w:rsid w:val="00405234"/>
    <w:rsid w:val="00410574"/>
    <w:rsid w:val="004115C6"/>
    <w:rsid w:val="00411C72"/>
    <w:rsid w:val="00420D17"/>
    <w:rsid w:val="00423189"/>
    <w:rsid w:val="00431A14"/>
    <w:rsid w:val="00433B52"/>
    <w:rsid w:val="004433B1"/>
    <w:rsid w:val="00447D6C"/>
    <w:rsid w:val="004502BE"/>
    <w:rsid w:val="00450F28"/>
    <w:rsid w:val="00473784"/>
    <w:rsid w:val="004737A3"/>
    <w:rsid w:val="00490380"/>
    <w:rsid w:val="00494CE5"/>
    <w:rsid w:val="00496413"/>
    <w:rsid w:val="004A6EC5"/>
    <w:rsid w:val="004B0FBD"/>
    <w:rsid w:val="004B3D2C"/>
    <w:rsid w:val="004B5C69"/>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D5536"/>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E6DAF"/>
    <w:rsid w:val="006F45A4"/>
    <w:rsid w:val="006F6764"/>
    <w:rsid w:val="007156D0"/>
    <w:rsid w:val="00732724"/>
    <w:rsid w:val="0073408A"/>
    <w:rsid w:val="00770047"/>
    <w:rsid w:val="00774D93"/>
    <w:rsid w:val="00783355"/>
    <w:rsid w:val="007A2AB6"/>
    <w:rsid w:val="007B3000"/>
    <w:rsid w:val="007B6C2A"/>
    <w:rsid w:val="007D1264"/>
    <w:rsid w:val="007D6DDF"/>
    <w:rsid w:val="00802856"/>
    <w:rsid w:val="00802AF7"/>
    <w:rsid w:val="00820980"/>
    <w:rsid w:val="00824CBC"/>
    <w:rsid w:val="00824F17"/>
    <w:rsid w:val="0083199E"/>
    <w:rsid w:val="00835A17"/>
    <w:rsid w:val="0084265D"/>
    <w:rsid w:val="008760F7"/>
    <w:rsid w:val="00876243"/>
    <w:rsid w:val="00876D3D"/>
    <w:rsid w:val="00877A97"/>
    <w:rsid w:val="008809BD"/>
    <w:rsid w:val="00885C0A"/>
    <w:rsid w:val="008913E3"/>
    <w:rsid w:val="00893B9B"/>
    <w:rsid w:val="00894C15"/>
    <w:rsid w:val="00895A4F"/>
    <w:rsid w:val="00896AD8"/>
    <w:rsid w:val="008A1228"/>
    <w:rsid w:val="008B48F2"/>
    <w:rsid w:val="008C0DB3"/>
    <w:rsid w:val="008C3FC0"/>
    <w:rsid w:val="008C7B7B"/>
    <w:rsid w:val="008D06F4"/>
    <w:rsid w:val="008D49C1"/>
    <w:rsid w:val="008D6EC7"/>
    <w:rsid w:val="008E3A81"/>
    <w:rsid w:val="008E6BFA"/>
    <w:rsid w:val="008F6BFB"/>
    <w:rsid w:val="008F6C97"/>
    <w:rsid w:val="008F79C6"/>
    <w:rsid w:val="00900796"/>
    <w:rsid w:val="00910223"/>
    <w:rsid w:val="00921FD1"/>
    <w:rsid w:val="009266C2"/>
    <w:rsid w:val="00933156"/>
    <w:rsid w:val="00933194"/>
    <w:rsid w:val="00936C93"/>
    <w:rsid w:val="00937A52"/>
    <w:rsid w:val="00944AC7"/>
    <w:rsid w:val="00955901"/>
    <w:rsid w:val="00955AFC"/>
    <w:rsid w:val="00966E83"/>
    <w:rsid w:val="00982560"/>
    <w:rsid w:val="00986569"/>
    <w:rsid w:val="0099427D"/>
    <w:rsid w:val="009A2C24"/>
    <w:rsid w:val="009A6F85"/>
    <w:rsid w:val="009B6AC0"/>
    <w:rsid w:val="009C3320"/>
    <w:rsid w:val="009D61B3"/>
    <w:rsid w:val="009E1A32"/>
    <w:rsid w:val="00A05DFC"/>
    <w:rsid w:val="00A20E41"/>
    <w:rsid w:val="00A333C4"/>
    <w:rsid w:val="00A355F4"/>
    <w:rsid w:val="00A37124"/>
    <w:rsid w:val="00A53AA0"/>
    <w:rsid w:val="00A57568"/>
    <w:rsid w:val="00A80F1F"/>
    <w:rsid w:val="00A845A9"/>
    <w:rsid w:val="00A95CD3"/>
    <w:rsid w:val="00AB051C"/>
    <w:rsid w:val="00AC4459"/>
    <w:rsid w:val="00AD0B2F"/>
    <w:rsid w:val="00AD6206"/>
    <w:rsid w:val="00AF55EB"/>
    <w:rsid w:val="00B04970"/>
    <w:rsid w:val="00B06FBE"/>
    <w:rsid w:val="00B16CA7"/>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A62E6"/>
    <w:rsid w:val="00CC63F4"/>
    <w:rsid w:val="00CD22DD"/>
    <w:rsid w:val="00CD53A0"/>
    <w:rsid w:val="00CE2FEF"/>
    <w:rsid w:val="00CE4CD8"/>
    <w:rsid w:val="00CF5BED"/>
    <w:rsid w:val="00D23AC1"/>
    <w:rsid w:val="00D32AF0"/>
    <w:rsid w:val="00D34D77"/>
    <w:rsid w:val="00D5412A"/>
    <w:rsid w:val="00D5590A"/>
    <w:rsid w:val="00D57E88"/>
    <w:rsid w:val="00D61FA9"/>
    <w:rsid w:val="00D62DE9"/>
    <w:rsid w:val="00D7481D"/>
    <w:rsid w:val="00D75B4B"/>
    <w:rsid w:val="00DA3758"/>
    <w:rsid w:val="00DD5712"/>
    <w:rsid w:val="00DD61F2"/>
    <w:rsid w:val="00DE6F87"/>
    <w:rsid w:val="00DF3A44"/>
    <w:rsid w:val="00DF429A"/>
    <w:rsid w:val="00E1315D"/>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A41B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CF46-0D46-458D-9A2C-5125D933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2160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2022-12-20T14:37:00Z</dcterms:created>
  <dcterms:modified xsi:type="dcterms:W3CDTF">2022-12-20T14:37:00Z</dcterms:modified>
</cp:coreProperties>
</file>